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37F1B5AA" w14:textId="77777777" w:rsidR="000A6247" w:rsidRDefault="000A6247" w:rsidP="000A6247">
      <w:pPr>
        <w:rPr>
          <w:rStyle w:val="jlqj4b"/>
          <w:rFonts w:ascii="Arial" w:hAnsi="Arial" w:cs="Arial"/>
          <w:b/>
          <w:sz w:val="40"/>
          <w:szCs w:val="40"/>
        </w:rPr>
      </w:pPr>
    </w:p>
    <w:p w14:paraId="0ED6AB1F" w14:textId="0A38967B" w:rsidR="000A6247" w:rsidRPr="000A6247" w:rsidRDefault="000A6247" w:rsidP="000A6247">
      <w:pPr>
        <w:rPr>
          <w:rFonts w:ascii="Arial" w:hAnsi="Arial" w:cs="Arial"/>
          <w:b/>
          <w:sz w:val="40"/>
          <w:szCs w:val="40"/>
        </w:rPr>
      </w:pPr>
      <w:r w:rsidRPr="000A6247">
        <w:rPr>
          <w:rFonts w:ascii="Arial" w:hAnsi="Arial" w:cs="Arial"/>
          <w:b/>
          <w:sz w:val="40"/>
          <w:szCs w:val="40"/>
        </w:rPr>
        <w:t>Klein, aber stark</w:t>
      </w:r>
    </w:p>
    <w:p w14:paraId="5C6F8081" w14:textId="77777777" w:rsidR="000A6247" w:rsidRPr="000A6247" w:rsidRDefault="000A6247" w:rsidP="000A6247">
      <w:pPr>
        <w:rPr>
          <w:rFonts w:ascii="Arial" w:hAnsi="Arial" w:cs="Arial"/>
          <w:b/>
          <w:sz w:val="28"/>
          <w:szCs w:val="28"/>
        </w:rPr>
      </w:pPr>
      <w:r w:rsidRPr="000A6247">
        <w:rPr>
          <w:rFonts w:ascii="Arial" w:hAnsi="Arial" w:cs="Arial"/>
          <w:b/>
          <w:sz w:val="28"/>
          <w:szCs w:val="28"/>
        </w:rPr>
        <w:t xml:space="preserve">Neue Generation der </w:t>
      </w:r>
      <w:proofErr w:type="spellStart"/>
      <w:r w:rsidRPr="000A6247">
        <w:rPr>
          <w:rFonts w:ascii="Arial" w:hAnsi="Arial" w:cs="Arial"/>
          <w:b/>
          <w:sz w:val="28"/>
          <w:szCs w:val="28"/>
        </w:rPr>
        <w:t>Cat</w:t>
      </w:r>
      <w:proofErr w:type="spellEnd"/>
      <w:r w:rsidRPr="000A6247">
        <w:rPr>
          <w:rFonts w:ascii="Arial" w:hAnsi="Arial" w:cs="Arial"/>
          <w:b/>
          <w:sz w:val="28"/>
          <w:szCs w:val="28"/>
        </w:rPr>
        <w:t xml:space="preserve"> Minibagger 304 und 305 CR haben bei Leistung, </w:t>
      </w:r>
      <w:r w:rsidRPr="000A6247">
        <w:rPr>
          <w:rFonts w:ascii="Arial" w:eastAsia="Times New Roman" w:hAnsi="Arial" w:cs="Arial"/>
          <w:b/>
          <w:color w:val="000000"/>
          <w:sz w:val="28"/>
          <w:szCs w:val="28"/>
        </w:rPr>
        <w:t>Ausbrechkraft und Grabtiefe zugelegt</w:t>
      </w:r>
      <w:r w:rsidRPr="000A6247">
        <w:rPr>
          <w:rFonts w:ascii="Arial" w:hAnsi="Arial" w:cs="Arial"/>
          <w:b/>
          <w:sz w:val="28"/>
          <w:szCs w:val="28"/>
        </w:rPr>
        <w:t xml:space="preserve"> </w:t>
      </w:r>
    </w:p>
    <w:p w14:paraId="21F17E7A"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GARCHING BEI MÜNCHEN (SR). Erst die großen, nun die kleineren Vertreter auf Kette: Auch die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Minibagger in der Vier- und Fünf-Tonnen-Klasse haben einen Generationswechsel vollzogen. Die neuen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304 und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305 CR sind die letzten Minibagger, die nach dem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Konzept der nächsten Generation umgestaltet wurden. </w:t>
      </w:r>
      <w:r w:rsidRPr="000A6247">
        <w:rPr>
          <w:rFonts w:ascii="Arial" w:eastAsia="Times New Roman" w:hAnsi="Arial" w:cs="Arial"/>
        </w:rPr>
        <w:t xml:space="preserve">Alle Typen </w:t>
      </w:r>
      <w:r w:rsidRPr="000A6247">
        <w:rPr>
          <w:rFonts w:ascii="Arial" w:eastAsia="Times New Roman" w:hAnsi="Arial" w:cs="Arial"/>
          <w:color w:val="000000"/>
        </w:rPr>
        <w:t xml:space="preserve">der 1,5- bis 10-Tonnen-Klasse bieten nun einheitliche Bedienung und dieselben </w:t>
      </w:r>
      <w:r w:rsidRPr="000A6247">
        <w:rPr>
          <w:rFonts w:ascii="Arial" w:eastAsia="Times New Roman" w:hAnsi="Arial" w:cs="Arial"/>
        </w:rPr>
        <w:t xml:space="preserve">Merkmale </w:t>
      </w:r>
      <w:r w:rsidRPr="000A6247">
        <w:rPr>
          <w:rFonts w:ascii="Arial" w:eastAsia="Times New Roman" w:hAnsi="Arial" w:cs="Arial"/>
          <w:color w:val="000000"/>
        </w:rPr>
        <w:t xml:space="preserve">an, um den Fahrern den Umstieg so einfach wie möglich zu machen. Was sie sonst noch auszeichnet: Sie können einen Leistungszuwachs von 20 Prozent gegenüber der Vorgängerbaureihe E2 vorweisen. Ausbrechkraft und Grabtiefe haben ebenfalls zugelegt. Die Abstände zum Schmieren wurden verlängert – ebenso die Intervalle zum Wechseln der Filter, was die Betriebskosten um bis zu zehn Prozent senkt.  </w:t>
      </w:r>
    </w:p>
    <w:p w14:paraId="488DE204"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rPr>
        <w:t xml:space="preserve">Der neue </w:t>
      </w:r>
      <w:proofErr w:type="spellStart"/>
      <w:r w:rsidRPr="000A6247">
        <w:rPr>
          <w:rFonts w:ascii="Arial" w:eastAsia="Times New Roman" w:hAnsi="Arial" w:cs="Arial"/>
        </w:rPr>
        <w:t>Cat</w:t>
      </w:r>
      <w:proofErr w:type="spellEnd"/>
      <w:r w:rsidRPr="000A6247">
        <w:rPr>
          <w:rFonts w:ascii="Arial" w:eastAsia="Times New Roman" w:hAnsi="Arial" w:cs="Arial"/>
        </w:rPr>
        <w:t xml:space="preserve"> 304 ist kompakter und wendiger geworden und verfügt über eine Spurweite von 1700 Millimeter – damit ist er um 254 Millimeter schmaler als der 304 E2. Das eröffnet ihm mehr Einsatzmöglichkeiten, und zwar immer dann, wenn es eng zur Sache geht. </w:t>
      </w:r>
      <w:r w:rsidRPr="000A6247">
        <w:rPr>
          <w:rFonts w:ascii="Arial" w:eastAsia="Times New Roman" w:hAnsi="Arial" w:cs="Arial"/>
          <w:color w:val="000000"/>
        </w:rPr>
        <w:t>Trotz der neuen und schmaleren Konstruktion konnte die Leistung verbessert werden. Auch im Hinblick auf die Stabilität gibt es kaum Abstriche. Optional ist ein Zusatzgewicht erhältlich, das der Baumaschine noch mehr Standfestigkeit verleiht.</w:t>
      </w:r>
    </w:p>
    <w:p w14:paraId="0624892D" w14:textId="125148B0"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Mehr Power kann auch der neue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305 CR vorweisen: Verbesserungen am Hydrauliksystem sorgen für höhere Ausbrechkräfte – 49,2 kN am Löffel, 28,3 kN am Standardstiel und 25,2 kN am langen Stiel – damit steht noch mehr Effizienz beim Aushub zur Verfügung</w:t>
      </w:r>
      <w:r w:rsidRPr="000A6247">
        <w:rPr>
          <w:rFonts w:ascii="Arial" w:eastAsia="Times New Roman" w:hAnsi="Arial" w:cs="Arial"/>
        </w:rPr>
        <w:t xml:space="preserve">. Außerdem erreicht der neue Bagger 140 Millimeter mehr Grabtiefe als der 305 E2. </w:t>
      </w:r>
      <w:r w:rsidRPr="000A6247">
        <w:rPr>
          <w:rFonts w:ascii="Arial" w:eastAsia="Times New Roman" w:hAnsi="Arial" w:cs="Arial"/>
          <w:color w:val="000000"/>
        </w:rPr>
        <w:t>Auch da ist nun mehr Spielraum bei Einsätzen gegeben.  Sein reduzierter Heckschwenkradius, erkennbar an der Typbezeichnung CR (=</w:t>
      </w:r>
      <w:r>
        <w:rPr>
          <w:rFonts w:ascii="Arial" w:eastAsia="Times New Roman" w:hAnsi="Arial" w:cs="Arial"/>
          <w:color w:val="000000"/>
        </w:rPr>
        <w:t xml:space="preserve"> </w:t>
      </w:r>
      <w:r w:rsidRPr="000A6247">
        <w:rPr>
          <w:rFonts w:ascii="Arial" w:eastAsia="Times New Roman" w:hAnsi="Arial" w:cs="Arial"/>
          <w:color w:val="000000"/>
        </w:rPr>
        <w:t xml:space="preserve">Compact Radius), verkürzt den Hecküberstand erheblich – praktisch, wenn Arbeiten an Mauern oder Wänden anstehen und die Baumaschine dann nicht anecken darf. Die Spurweite von 1980 Millimeter und ein optionales Gegengewicht tragen zur Stabilität und Hubleistung auf engem Raum bei. </w:t>
      </w:r>
    </w:p>
    <w:p w14:paraId="42AF2F08"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Beide Modelle sind jetzt optional mit einem </w:t>
      </w:r>
      <w:r w:rsidRPr="000A6247">
        <w:rPr>
          <w:rFonts w:ascii="Arial" w:eastAsia="Times New Roman" w:hAnsi="Arial" w:cs="Arial"/>
        </w:rPr>
        <w:t xml:space="preserve">schwenkbaren Abstützplanierschild </w:t>
      </w:r>
      <w:r w:rsidRPr="000A6247">
        <w:rPr>
          <w:rFonts w:ascii="Arial" w:eastAsia="Times New Roman" w:hAnsi="Arial" w:cs="Arial"/>
          <w:color w:val="000000"/>
        </w:rPr>
        <w:t xml:space="preserve">ausgestattet, was Verfüll- und Planierarbeiten flexibler gestaltet lässt. Der Schild bietet nicht nur einen großen Schwenkbereich nach oben und unten sowie eine serienmäßige Schwimmfunktion, </w:t>
      </w:r>
      <w:r w:rsidRPr="000A6247">
        <w:rPr>
          <w:rFonts w:ascii="Arial" w:eastAsia="Times New Roman" w:hAnsi="Arial" w:cs="Arial"/>
          <w:color w:val="000000"/>
        </w:rPr>
        <w:lastRenderedPageBreak/>
        <w:t>er lässt sich auch für gesteuerten Materialabfluss um</w:t>
      </w:r>
      <w:r w:rsidRPr="000A6247">
        <w:rPr>
          <w:rFonts w:ascii="Arial" w:eastAsia="Times New Roman" w:hAnsi="Arial" w:cs="Arial"/>
        </w:rPr>
        <w:t xml:space="preserve"> 25 </w:t>
      </w:r>
      <w:r w:rsidRPr="000A6247">
        <w:rPr>
          <w:rFonts w:ascii="Arial" w:eastAsia="Times New Roman" w:hAnsi="Arial" w:cs="Arial"/>
          <w:color w:val="000000"/>
        </w:rPr>
        <w:t>Grad nach links oder rechts aus der Mitte heraus anstellen. Der rechte Joystick steuert die Bewegung des Planierschilds, während der linke Joystick für den Fahrantrieb der Maschine zuständig ist, was Planierarbeiten deutlich erleichtert.</w:t>
      </w:r>
    </w:p>
    <w:p w14:paraId="55AC1BC6"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Die Kontergewichte sind austauschbar, um ein ausgewogenes Verhältnis zwischen niedrigem Bodendruck und Hubleistung sicherzustellen und das Maschinengewicht an die jeweiligen Arbeitsanforderungen anzupassen. Die branchenweit einzigartige Joysticksteuerung für die Fahr- und Schildbewegungen vereinfacht die Bedienung der Maschinen. Ohne große Umschweife kann Fahrer von der konventionellen Hebel-/Fußpedal-Lenkung auf die Joysticks umschalten. Zwei Fahrgeschwindigkeitsbereiche und ein serienmäßiger Tempomat erleichtern das Bewegen auf der Baustelle bei minimalem Eingreifen des Fahrers.</w:t>
      </w:r>
    </w:p>
    <w:p w14:paraId="46B25AEA"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Der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Motor C1.7 erfüllt die Abgasnormen der EU-Stufe V und bietet eine höhere Leistung als der vorherige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Motor C2.4. Die serienmäßige Leerlaufautomatik, die automatische Motorabschaltung und die effiziente Load-</w:t>
      </w:r>
      <w:proofErr w:type="spellStart"/>
      <w:r w:rsidRPr="000A6247">
        <w:rPr>
          <w:rFonts w:ascii="Arial" w:eastAsia="Times New Roman" w:hAnsi="Arial" w:cs="Arial"/>
          <w:color w:val="000000"/>
        </w:rPr>
        <w:t>Sensing</w:t>
      </w:r>
      <w:proofErr w:type="spellEnd"/>
      <w:r w:rsidRPr="000A6247">
        <w:rPr>
          <w:rFonts w:ascii="Arial" w:eastAsia="Times New Roman" w:hAnsi="Arial" w:cs="Arial"/>
          <w:color w:val="000000"/>
        </w:rPr>
        <w:t xml:space="preserve">-Hydraulik mit </w:t>
      </w:r>
      <w:proofErr w:type="spellStart"/>
      <w:r w:rsidRPr="000A6247">
        <w:rPr>
          <w:rFonts w:ascii="Arial" w:eastAsia="Times New Roman" w:hAnsi="Arial" w:cs="Arial"/>
          <w:color w:val="000000"/>
        </w:rPr>
        <w:t>Verstellpumpe</w:t>
      </w:r>
      <w:proofErr w:type="spellEnd"/>
      <w:r w:rsidRPr="000A6247">
        <w:rPr>
          <w:rFonts w:ascii="Arial" w:eastAsia="Times New Roman" w:hAnsi="Arial" w:cs="Arial"/>
          <w:color w:val="000000"/>
        </w:rPr>
        <w:t xml:space="preserve"> tragen dazu bei, den Kraftstoffverbrauch am Einsatzort zu senken und den Betrieb kostengünstig zu gestalten. Hohe Arbeitsdrücke, gekoppelt mit </w:t>
      </w:r>
      <w:r w:rsidRPr="000A6247">
        <w:rPr>
          <w:rFonts w:ascii="Arial" w:eastAsia="Times New Roman" w:hAnsi="Arial" w:cs="Arial"/>
        </w:rPr>
        <w:t xml:space="preserve">hohen </w:t>
      </w:r>
      <w:r w:rsidRPr="000A6247">
        <w:rPr>
          <w:rFonts w:ascii="Arial" w:eastAsia="Times New Roman" w:hAnsi="Arial" w:cs="Arial"/>
          <w:color w:val="000000"/>
        </w:rPr>
        <w:t>Durchflussraten, bieten die nötige hydraulische Kapazität für hohe Grab- und Hubkräfte genauso wie für den effizienteren Einsatz leistungsstarker Anbaugeräte. Hydraulikleitungen bis zum Stiel und Schnellkupplungen für den einfachen Wechsel der Anbauwerkzeuge gehören zum Standard.</w:t>
      </w:r>
    </w:p>
    <w:p w14:paraId="435690A2"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Wie bei anderen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Kompaktbaggern der nächsten Generation ist die Kabine mit Heizung und optionaler Klimaanlage für eine wetterunabhängige Klimatisierung ausgestattet. Die großen Glasflächen der Kabine und das Dachfenster ermöglichen eine gute </w:t>
      </w:r>
      <w:r w:rsidRPr="000A6247">
        <w:rPr>
          <w:rFonts w:ascii="Arial" w:eastAsia="Times New Roman" w:hAnsi="Arial" w:cs="Arial"/>
        </w:rPr>
        <w:t xml:space="preserve">Rundumsicht. Das optional verfügbare, große Display mit fortschrittlicher Touchscreen-Bedienung </w:t>
      </w:r>
      <w:r w:rsidRPr="000A6247">
        <w:rPr>
          <w:rFonts w:ascii="Arial" w:eastAsia="Times New Roman" w:hAnsi="Arial" w:cs="Arial"/>
          <w:color w:val="000000"/>
        </w:rPr>
        <w:t xml:space="preserve">ermöglicht eine intuitive Steuerung der Maschinenfunktionen und eine einfache Überwachung wichtiger Betriebsparameter. </w:t>
      </w:r>
    </w:p>
    <w:p w14:paraId="6AF77795"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Die täglichen Wartungsarbeiten an den Typen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304 und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305 CR können schnell vom Boden aus durchgeführt werden. Verlängerte Wartungsintervalle bedeuten, dass diese Bagger mehr Zeit bei der Arbeit und weniger Zeit in der Werkstatt verbringen.</w:t>
      </w:r>
    </w:p>
    <w:p w14:paraId="2AABC2F0" w14:textId="77777777"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Bildtexte</w:t>
      </w:r>
    </w:p>
    <w:p w14:paraId="1A624975" w14:textId="4ED31173" w:rsidR="000A6247" w:rsidRP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Bild 1: Der neue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304 ist kompakter und wendiger geworden und verfügt über eine Spurweite von 1700 Millimeter – damit ist er um 254 Millimeter schmaler als sein Vorgänger, bietet aber gute Standsicherheit und dank neuem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Motor deutlich mehr Leistung.</w:t>
      </w:r>
    </w:p>
    <w:p w14:paraId="4D41D4B3" w14:textId="77777777" w:rsidR="000A6247" w:rsidRDefault="000A6247" w:rsidP="000A6247">
      <w:pPr>
        <w:shd w:val="clear" w:color="auto" w:fill="FFFFFF"/>
        <w:spacing w:after="100" w:afterAutospacing="1"/>
        <w:rPr>
          <w:rFonts w:ascii="Arial" w:eastAsia="Times New Roman" w:hAnsi="Arial" w:cs="Arial"/>
          <w:color w:val="000000"/>
        </w:rPr>
      </w:pPr>
      <w:r w:rsidRPr="000A6247">
        <w:rPr>
          <w:rFonts w:ascii="Arial" w:eastAsia="Times New Roman" w:hAnsi="Arial" w:cs="Arial"/>
          <w:color w:val="000000"/>
        </w:rPr>
        <w:t xml:space="preserve">Bild 2: Mehr Power kann auch der neue </w:t>
      </w:r>
      <w:proofErr w:type="spellStart"/>
      <w:r w:rsidRPr="000A6247">
        <w:rPr>
          <w:rFonts w:ascii="Arial" w:eastAsia="Times New Roman" w:hAnsi="Arial" w:cs="Arial"/>
          <w:color w:val="000000"/>
        </w:rPr>
        <w:t>Cat</w:t>
      </w:r>
      <w:proofErr w:type="spellEnd"/>
      <w:r w:rsidRPr="000A6247">
        <w:rPr>
          <w:rFonts w:ascii="Arial" w:eastAsia="Times New Roman" w:hAnsi="Arial" w:cs="Arial"/>
          <w:color w:val="000000"/>
        </w:rPr>
        <w:t xml:space="preserve"> 305 CR vorweisen: Sein reduzierter Heckschwenkradius verkürzt den Hecküberstand erheblich</w:t>
      </w:r>
      <w:r>
        <w:rPr>
          <w:rFonts w:ascii="Arial" w:eastAsia="Times New Roman" w:hAnsi="Arial" w:cs="Arial"/>
          <w:color w:val="000000"/>
        </w:rPr>
        <w:t>.</w:t>
      </w:r>
    </w:p>
    <w:p w14:paraId="2FD7F0AB" w14:textId="521D6894" w:rsidR="000A6247" w:rsidRPr="000A6247" w:rsidRDefault="000A6247" w:rsidP="000A6247">
      <w:pPr>
        <w:shd w:val="clear" w:color="auto" w:fill="FFFFFF"/>
        <w:spacing w:after="100" w:afterAutospacing="1"/>
        <w:rPr>
          <w:rFonts w:ascii="Arial" w:eastAsia="Times New Roman" w:hAnsi="Arial" w:cs="Arial"/>
          <w:color w:val="000000"/>
        </w:rPr>
      </w:pPr>
      <w:bookmarkStart w:id="0" w:name="_GoBack"/>
      <w:bookmarkEnd w:id="0"/>
      <w:r w:rsidRPr="000A6247">
        <w:rPr>
          <w:rFonts w:ascii="Arial" w:eastAsia="Times New Roman" w:hAnsi="Arial" w:cs="Arial"/>
          <w:color w:val="000000"/>
        </w:rPr>
        <w:lastRenderedPageBreak/>
        <w:t xml:space="preserve">Fotos: </w:t>
      </w:r>
      <w:proofErr w:type="spellStart"/>
      <w:r w:rsidRPr="000A6247">
        <w:rPr>
          <w:rFonts w:ascii="Arial" w:eastAsia="Times New Roman" w:hAnsi="Arial" w:cs="Arial"/>
          <w:color w:val="000000"/>
        </w:rPr>
        <w:t>Caterpillar</w:t>
      </w:r>
      <w:proofErr w:type="spellEnd"/>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8444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A2520" w14:textId="77777777" w:rsidR="00884444" w:rsidRDefault="00884444" w:rsidP="00AF4275">
      <w:pPr>
        <w:spacing w:after="0" w:line="240" w:lineRule="auto"/>
      </w:pPr>
      <w:r>
        <w:separator/>
      </w:r>
    </w:p>
  </w:endnote>
  <w:endnote w:type="continuationSeparator" w:id="0">
    <w:p w14:paraId="18D30339" w14:textId="77777777" w:rsidR="00884444" w:rsidRDefault="0088444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1D043" w14:textId="77777777" w:rsidR="00884444" w:rsidRDefault="00884444" w:rsidP="00AF4275">
      <w:pPr>
        <w:spacing w:after="0" w:line="240" w:lineRule="auto"/>
      </w:pPr>
      <w:r>
        <w:separator/>
      </w:r>
    </w:p>
  </w:footnote>
  <w:footnote w:type="continuationSeparator" w:id="0">
    <w:p w14:paraId="1EE4CBD8" w14:textId="77777777" w:rsidR="00884444" w:rsidRDefault="0088444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6247"/>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8444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79A63-E26F-9940-AA07-B37477BA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7524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2021-12-08T14:37:00Z</dcterms:created>
  <dcterms:modified xsi:type="dcterms:W3CDTF">2021-12-08T14:37:00Z</dcterms:modified>
</cp:coreProperties>
</file>